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0A" w:rsidRDefault="00A17C43" w:rsidP="0023740A">
      <w:pPr>
        <w:jc w:val="center"/>
        <w:rPr>
          <w:b/>
        </w:rPr>
      </w:pPr>
      <w:r>
        <w:rPr>
          <w:b/>
        </w:rPr>
        <w:t xml:space="preserve">ÖBZV </w:t>
      </w:r>
      <w:r w:rsidR="002F5780">
        <w:rPr>
          <w:b/>
        </w:rPr>
        <w:t>Zuchtbericht S</w:t>
      </w:r>
      <w:r w:rsidR="0023740A">
        <w:rPr>
          <w:b/>
        </w:rPr>
        <w:t>aison 2021 Österreich</w:t>
      </w:r>
    </w:p>
    <w:p w:rsidR="00543BA4" w:rsidRDefault="0023740A">
      <w:r>
        <w:t>Die Zuchtsaison 2021 gestaltete sich</w:t>
      </w:r>
      <w:r w:rsidR="002F5780">
        <w:t>,</w:t>
      </w:r>
      <w:r>
        <w:t xml:space="preserve"> verglich</w:t>
      </w:r>
      <w:r w:rsidR="006A5EEC">
        <w:t>en mit vorhergehenden Jahren</w:t>
      </w:r>
      <w:r w:rsidR="002F5780">
        <w:t>,</w:t>
      </w:r>
      <w:r>
        <w:t xml:space="preserve"> äußerst schwierig. Die extrem kalten und regnerischen Monate März bis inklusive Mai, gefolgt von einem heißen und trockenen Juni/Juli erschwerten und verkü</w:t>
      </w:r>
      <w:r w:rsidR="002F5780">
        <w:t>rzten die Zuchtsaison erheblich.</w:t>
      </w:r>
      <w:r>
        <w:t xml:space="preserve"> </w:t>
      </w:r>
      <w:r w:rsidR="002F5780">
        <w:t>E</w:t>
      </w:r>
      <w:r w:rsidR="00A17C43">
        <w:t>tliche Belegstellen</w:t>
      </w:r>
      <w:r>
        <w:t xml:space="preserve"> konnten die frühen Anlieferungstermine aufgrund des </w:t>
      </w:r>
      <w:r w:rsidR="006A5EEC">
        <w:t>kalten Frühjah</w:t>
      </w:r>
      <w:r>
        <w:t>rs nicht wahrnehmen. In der Wintertr</w:t>
      </w:r>
      <w:r w:rsidR="002F5780">
        <w:t xml:space="preserve">aube legen die Völker </w:t>
      </w:r>
      <w:r>
        <w:t xml:space="preserve">ungern Drohnenbrut </w:t>
      </w:r>
      <w:r w:rsidR="00261C57">
        <w:t>an, schließlich soll ja Energie gespart werden.</w:t>
      </w:r>
    </w:p>
    <w:p w:rsidR="0023740A" w:rsidRDefault="0000678C">
      <w:r>
        <w:t>Das anhaltend kalte Wetter im Fr</w:t>
      </w:r>
      <w:r w:rsidR="0023740A">
        <w:t xml:space="preserve">ühjahr hatte allerdings auch etwas Gutes: Die Selektion war </w:t>
      </w:r>
      <w:r>
        <w:t xml:space="preserve">heuer </w:t>
      </w:r>
      <w:r w:rsidR="0023740A">
        <w:t xml:space="preserve">sehr einfach. Völker, die </w:t>
      </w:r>
      <w:r>
        <w:t xml:space="preserve">zur Aufwärtsentwicklung </w:t>
      </w:r>
      <w:r w:rsidR="0023740A">
        <w:t>warme Witterung ode</w:t>
      </w:r>
      <w:r>
        <w:t xml:space="preserve">r gar </w:t>
      </w:r>
      <w:r w:rsidR="00A17C43">
        <w:t>eine F</w:t>
      </w:r>
      <w:r>
        <w:t>ütterung benötig</w:t>
      </w:r>
      <w:r w:rsidR="00A17C43">
        <w:t>t</w:t>
      </w:r>
      <w:r>
        <w:t>en</w:t>
      </w:r>
      <w:r w:rsidR="0023740A">
        <w:t>, fielen heuer aus.</w:t>
      </w:r>
      <w:r>
        <w:t xml:space="preserve"> Nur starke, brutfreudige und dabei zugleich sparsame Völker konnten eine maximale Ernte mit geringstem Zeit- und Arbeitsaufwand</w:t>
      </w:r>
      <w:r w:rsidR="002F5780">
        <w:t>,</w:t>
      </w:r>
      <w:r>
        <w:t xml:space="preserve"> nach der Philosophie unseres „</w:t>
      </w:r>
      <w:proofErr w:type="spellStart"/>
      <w:r>
        <w:t>Buckfastvaters</w:t>
      </w:r>
      <w:proofErr w:type="spellEnd"/>
      <w:r>
        <w:t xml:space="preserve">“ </w:t>
      </w:r>
      <w:proofErr w:type="gramStart"/>
      <w:r>
        <w:t>Bruder</w:t>
      </w:r>
      <w:proofErr w:type="gramEnd"/>
      <w:r>
        <w:t xml:space="preserve"> Adam</w:t>
      </w:r>
      <w:r w:rsidR="002F5780">
        <w:t>,</w:t>
      </w:r>
      <w:r>
        <w:t xml:space="preserve"> erzielen.</w:t>
      </w:r>
    </w:p>
    <w:p w:rsidR="00902939" w:rsidRPr="000006AE" w:rsidRDefault="00902939">
      <w:pPr>
        <w:rPr>
          <w:b/>
        </w:rPr>
      </w:pPr>
      <w:r w:rsidRPr="000006AE">
        <w:rPr>
          <w:b/>
        </w:rPr>
        <w:t>Erklärungen zur Tabelle</w:t>
      </w:r>
    </w:p>
    <w:p w:rsidR="00902939" w:rsidRDefault="00902939">
      <w:r>
        <w:t>„Private Belegstellen“ s</w:t>
      </w:r>
      <w:r w:rsidR="002F5780">
        <w:t>ind jene Belegstellen, die aus b</w:t>
      </w:r>
      <w:r>
        <w:t>ienenpolitisc</w:t>
      </w:r>
      <w:r w:rsidR="006A5EEC">
        <w:t>hen Gründen nicht namentlich an</w:t>
      </w:r>
      <w:r>
        <w:t>geführt werden können. Alle in der Tabelle aufgeführten Informationen wurden von den einze</w:t>
      </w:r>
      <w:r w:rsidR="002F5780">
        <w:t xml:space="preserve">lnen </w:t>
      </w:r>
      <w:proofErr w:type="spellStart"/>
      <w:r w:rsidR="002F5780">
        <w:t>Betreiber:i</w:t>
      </w:r>
      <w:r>
        <w:t>nnen</w:t>
      </w:r>
      <w:proofErr w:type="spellEnd"/>
      <w:r>
        <w:t xml:space="preserve"> zur </w:t>
      </w:r>
      <w:r w:rsidR="000006AE">
        <w:t>Verfügung</w:t>
      </w:r>
      <w:r>
        <w:t xml:space="preserve"> gestellt. Es erfolgt keine Garantie für die Richtigkeit der Angaben. Dies soll jedoch nicht heißen, dass die Daten</w:t>
      </w:r>
      <w:r w:rsidR="00A17C43">
        <w:t xml:space="preserve"> nicht gewissenhaft geprüft und</w:t>
      </w:r>
      <w:r>
        <w:t xml:space="preserve"> verarbeitet worden sind!</w:t>
      </w:r>
      <w:r w:rsidR="00667BAD">
        <w:t xml:space="preserve"> Nicht alle </w:t>
      </w:r>
      <w:proofErr w:type="spellStart"/>
      <w:r w:rsidR="00667BAD">
        <w:t>Züchter</w:t>
      </w:r>
      <w:r w:rsidR="002F5780">
        <w:t>:innen</w:t>
      </w:r>
      <w:proofErr w:type="spellEnd"/>
      <w:r w:rsidR="002F5780">
        <w:t xml:space="preserve"> und </w:t>
      </w:r>
      <w:proofErr w:type="spellStart"/>
      <w:r w:rsidR="002F5780">
        <w:t>Betreiber:i</w:t>
      </w:r>
      <w:r w:rsidR="00667BAD">
        <w:t>nnen</w:t>
      </w:r>
      <w:proofErr w:type="spellEnd"/>
      <w:r w:rsidR="00667BAD">
        <w:t xml:space="preserve"> von Belegstelle</w:t>
      </w:r>
      <w:r w:rsidR="00261C57">
        <w:t>n wollten uns ihre Daten übermitt</w:t>
      </w:r>
      <w:r w:rsidR="00667BAD">
        <w:t>e</w:t>
      </w:r>
      <w:r w:rsidR="00261C57">
        <w:t>l</w:t>
      </w:r>
      <w:r w:rsidR="00667BAD">
        <w:t>n.</w:t>
      </w:r>
    </w:p>
    <w:tbl>
      <w:tblPr>
        <w:tblStyle w:val="Gitternetztabelle4Akzent6"/>
        <w:tblW w:w="0" w:type="auto"/>
        <w:tblLook w:val="04A0" w:firstRow="1" w:lastRow="0" w:firstColumn="1" w:lastColumn="0" w:noHBand="0" w:noVBand="1"/>
      </w:tblPr>
      <w:tblGrid>
        <w:gridCol w:w="2010"/>
        <w:gridCol w:w="1599"/>
        <w:gridCol w:w="1905"/>
        <w:gridCol w:w="2845"/>
      </w:tblGrid>
      <w:tr w:rsidR="0000678C" w:rsidTr="0080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00678C" w:rsidRDefault="0000678C">
            <w:r>
              <w:t>Belegstelle</w:t>
            </w:r>
          </w:p>
        </w:tc>
        <w:tc>
          <w:tcPr>
            <w:tcW w:w="1599" w:type="dxa"/>
          </w:tcPr>
          <w:p w:rsidR="0000678C" w:rsidRDefault="0000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Bundesland</w:t>
            </w:r>
          </w:p>
        </w:tc>
        <w:tc>
          <w:tcPr>
            <w:tcW w:w="1905" w:type="dxa"/>
          </w:tcPr>
          <w:p w:rsidR="0000678C" w:rsidRDefault="0000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Drohnenlinie</w:t>
            </w:r>
          </w:p>
        </w:tc>
        <w:tc>
          <w:tcPr>
            <w:tcW w:w="2845" w:type="dxa"/>
          </w:tcPr>
          <w:p w:rsidR="0000678C" w:rsidRDefault="00006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Aufgeführte Königinnen</w:t>
            </w:r>
          </w:p>
        </w:tc>
      </w:tr>
      <w:tr w:rsidR="0000678C" w:rsidTr="0080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00678C" w:rsidRDefault="0000678C" w:rsidP="00805486">
            <w:pPr>
              <w:jc w:val="center"/>
            </w:pPr>
            <w:r>
              <w:t>Nest</w:t>
            </w:r>
          </w:p>
        </w:tc>
        <w:tc>
          <w:tcPr>
            <w:tcW w:w="1599" w:type="dxa"/>
          </w:tcPr>
          <w:p w:rsidR="0000678C" w:rsidRDefault="0000678C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Vbg</w:t>
            </w:r>
            <w:proofErr w:type="spellEnd"/>
          </w:p>
        </w:tc>
        <w:tc>
          <w:tcPr>
            <w:tcW w:w="1905" w:type="dxa"/>
          </w:tcPr>
          <w:p w:rsidR="0000678C" w:rsidRDefault="00902939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B387(NE)</w:t>
            </w:r>
          </w:p>
        </w:tc>
        <w:tc>
          <w:tcPr>
            <w:tcW w:w="2845" w:type="dxa"/>
          </w:tcPr>
          <w:p w:rsidR="0000678C" w:rsidRDefault="00732E4F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</w:tr>
      <w:tr w:rsidR="0000678C" w:rsidRPr="00805486" w:rsidTr="0080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00678C" w:rsidRDefault="00732E4F" w:rsidP="00805486">
            <w:pPr>
              <w:jc w:val="center"/>
            </w:pPr>
            <w:r>
              <w:t>Valors</w:t>
            </w:r>
          </w:p>
        </w:tc>
        <w:tc>
          <w:tcPr>
            <w:tcW w:w="1599" w:type="dxa"/>
          </w:tcPr>
          <w:p w:rsidR="0000678C" w:rsidRDefault="0000678C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Vbg</w:t>
            </w:r>
            <w:proofErr w:type="spellEnd"/>
          </w:p>
        </w:tc>
        <w:tc>
          <w:tcPr>
            <w:tcW w:w="1905" w:type="dxa"/>
          </w:tcPr>
          <w:p w:rsidR="0000678C" w:rsidRDefault="000006AE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B391(NE)</w:t>
            </w:r>
          </w:p>
        </w:tc>
        <w:tc>
          <w:tcPr>
            <w:tcW w:w="2845" w:type="dxa"/>
          </w:tcPr>
          <w:p w:rsidR="0000678C" w:rsidRDefault="00732E4F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</w:p>
        </w:tc>
      </w:tr>
      <w:tr w:rsidR="0000678C" w:rsidRPr="00805486" w:rsidTr="0080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00678C" w:rsidRDefault="0000678C" w:rsidP="00805486">
            <w:pPr>
              <w:jc w:val="center"/>
            </w:pPr>
            <w:proofErr w:type="spellStart"/>
            <w:r>
              <w:t>Zurndorf</w:t>
            </w:r>
            <w:proofErr w:type="spellEnd"/>
          </w:p>
        </w:tc>
        <w:tc>
          <w:tcPr>
            <w:tcW w:w="1599" w:type="dxa"/>
          </w:tcPr>
          <w:p w:rsidR="0000678C" w:rsidRDefault="0000678C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Bgld</w:t>
            </w:r>
            <w:proofErr w:type="spellEnd"/>
          </w:p>
        </w:tc>
        <w:tc>
          <w:tcPr>
            <w:tcW w:w="1905" w:type="dxa"/>
          </w:tcPr>
          <w:p w:rsidR="0000678C" w:rsidRDefault="00902939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EL02(JK)xB262(AH)</w:t>
            </w:r>
          </w:p>
        </w:tc>
        <w:tc>
          <w:tcPr>
            <w:tcW w:w="2845" w:type="dxa"/>
          </w:tcPr>
          <w:p w:rsidR="0000678C" w:rsidRDefault="00892958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3626</w:t>
            </w:r>
          </w:p>
        </w:tc>
      </w:tr>
      <w:tr w:rsidR="0000678C" w:rsidRPr="00805486" w:rsidTr="0080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00678C" w:rsidRDefault="0000678C" w:rsidP="00805486">
            <w:pPr>
              <w:jc w:val="center"/>
            </w:pPr>
            <w:r>
              <w:t>Traunstein</w:t>
            </w:r>
          </w:p>
        </w:tc>
        <w:tc>
          <w:tcPr>
            <w:tcW w:w="1599" w:type="dxa"/>
          </w:tcPr>
          <w:p w:rsidR="0000678C" w:rsidRDefault="0000678C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OÖ</w:t>
            </w:r>
          </w:p>
        </w:tc>
        <w:tc>
          <w:tcPr>
            <w:tcW w:w="1905" w:type="dxa"/>
          </w:tcPr>
          <w:p w:rsidR="0000678C" w:rsidRDefault="00902939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M14(AK)</w:t>
            </w:r>
          </w:p>
        </w:tc>
        <w:tc>
          <w:tcPr>
            <w:tcW w:w="2845" w:type="dxa"/>
          </w:tcPr>
          <w:p w:rsidR="0000678C" w:rsidRDefault="00B17AE0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1501</w:t>
            </w:r>
          </w:p>
        </w:tc>
      </w:tr>
      <w:tr w:rsidR="0000678C" w:rsidRPr="00805486" w:rsidTr="0080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00678C" w:rsidRDefault="0000678C" w:rsidP="00805486">
            <w:pPr>
              <w:jc w:val="center"/>
            </w:pPr>
            <w:r>
              <w:t>Private Belegstellen</w:t>
            </w:r>
          </w:p>
        </w:tc>
        <w:tc>
          <w:tcPr>
            <w:tcW w:w="1599" w:type="dxa"/>
          </w:tcPr>
          <w:p w:rsidR="0000678C" w:rsidRDefault="0000678C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Österreichweit</w:t>
            </w:r>
          </w:p>
        </w:tc>
        <w:tc>
          <w:tcPr>
            <w:tcW w:w="1905" w:type="dxa"/>
          </w:tcPr>
          <w:p w:rsidR="0000678C" w:rsidRDefault="00902939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divers</w:t>
            </w:r>
          </w:p>
        </w:tc>
        <w:tc>
          <w:tcPr>
            <w:tcW w:w="2845" w:type="dxa"/>
          </w:tcPr>
          <w:p w:rsidR="0000678C" w:rsidRDefault="00667BAD" w:rsidP="00805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4272</w:t>
            </w:r>
          </w:p>
        </w:tc>
      </w:tr>
      <w:tr w:rsidR="0000678C" w:rsidRPr="00805486" w:rsidTr="00805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00678C" w:rsidRDefault="0000678C" w:rsidP="00805486">
            <w:pPr>
              <w:jc w:val="center"/>
            </w:pPr>
            <w:r>
              <w:t>Besamte Königinnen</w:t>
            </w:r>
          </w:p>
        </w:tc>
        <w:tc>
          <w:tcPr>
            <w:tcW w:w="1599" w:type="dxa"/>
          </w:tcPr>
          <w:p w:rsidR="0000678C" w:rsidRDefault="0000678C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Österreichweit</w:t>
            </w:r>
          </w:p>
        </w:tc>
        <w:tc>
          <w:tcPr>
            <w:tcW w:w="1905" w:type="dxa"/>
          </w:tcPr>
          <w:p w:rsidR="0000678C" w:rsidRDefault="00902939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divers</w:t>
            </w:r>
          </w:p>
        </w:tc>
        <w:tc>
          <w:tcPr>
            <w:tcW w:w="2845" w:type="dxa"/>
          </w:tcPr>
          <w:p w:rsidR="0000678C" w:rsidRDefault="00667BAD" w:rsidP="008054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</w:tbl>
    <w:p w:rsidR="0000678C" w:rsidRDefault="0000678C"/>
    <w:p w:rsidR="00EB77B7" w:rsidRDefault="00892958">
      <w:r>
        <w:t>Das Jahr 2021 geht insgesamt als schlechtes Honigjahr und durchschnittliches Zuchtjahr in die Geschichte ein</w:t>
      </w:r>
      <w:r w:rsidR="00217492">
        <w:t xml:space="preserve">. Die in der Tabelle erwähnten Belegstellen konnten die </w:t>
      </w:r>
      <w:proofErr w:type="spellStart"/>
      <w:r w:rsidR="00217492">
        <w:t>Auffuhrzahlen</w:t>
      </w:r>
      <w:proofErr w:type="spellEnd"/>
      <w:r w:rsidR="007038D5">
        <w:t xml:space="preserve"> im Vergleich zum Vorjahr, Zuchtbericht 2020 veröffentlicht in der März-Ausgabe der Zeitschrift „Der </w:t>
      </w:r>
      <w:proofErr w:type="spellStart"/>
      <w:r w:rsidR="007038D5">
        <w:t>Buckfastimker</w:t>
      </w:r>
      <w:proofErr w:type="spellEnd"/>
      <w:r w:rsidR="007038D5">
        <w:t>“, teilweise</w:t>
      </w:r>
      <w:r w:rsidR="00217492">
        <w:t xml:space="preserve"> beibehalten oder geringfügig steigern, wie z. B. Valors und der Traunstein, oder sogar verdoppeln, wie die Landbelegstelle </w:t>
      </w:r>
      <w:proofErr w:type="spellStart"/>
      <w:r w:rsidR="00217492">
        <w:t>Zurndorf</w:t>
      </w:r>
      <w:proofErr w:type="spellEnd"/>
      <w:r w:rsidR="00217492">
        <w:t xml:space="preserve"> im Burgenland. </w:t>
      </w:r>
    </w:p>
    <w:p w:rsidR="00217492" w:rsidRDefault="00217492">
      <w:r>
        <w:t>Die Gesetzeslage e</w:t>
      </w:r>
      <w:r w:rsidR="00DD29BD">
        <w:t>iniger Bundesländer Österreichs</w:t>
      </w:r>
      <w:r>
        <w:t xml:space="preserve"> erlaubt die namentliche Aufführung von allen Begattungsständen nicht, da sie nicht als anerkannte Reinzuchtbelegstellen gelt</w:t>
      </w:r>
      <w:r w:rsidR="00E14E6B">
        <w:t>en dürfen. Festz</w:t>
      </w:r>
      <w:r w:rsidR="002C2D02">
        <w:t xml:space="preserve">uhalten ist, dass </w:t>
      </w:r>
      <w:proofErr w:type="spellStart"/>
      <w:r w:rsidR="002C2D02">
        <w:t>Buckfastimker:</w:t>
      </w:r>
      <w:r w:rsidR="00657E56">
        <w:t>innen</w:t>
      </w:r>
      <w:proofErr w:type="spellEnd"/>
      <w:r w:rsidR="00657E56">
        <w:t xml:space="preserve">, genauso wie </w:t>
      </w:r>
      <w:proofErr w:type="spellStart"/>
      <w:r w:rsidR="00657E56">
        <w:t>Züchter:innen</w:t>
      </w:r>
      <w:proofErr w:type="spellEnd"/>
      <w:r w:rsidR="00657E56">
        <w:t xml:space="preserve"> anderer Bienenrassen</w:t>
      </w:r>
      <w:r w:rsidR="002C2D02">
        <w:t>,</w:t>
      </w:r>
      <w:r w:rsidR="00E14E6B">
        <w:t xml:space="preserve"> professionelle Zuchtarbeit in der</w:t>
      </w:r>
      <w:r w:rsidR="002C2D02">
        <w:t xml:space="preserve"> Heimat leisten wollen, um die g</w:t>
      </w:r>
      <w:r w:rsidR="00DD29BD">
        <w:t>enetischen Anlagen d</w:t>
      </w:r>
      <w:bookmarkStart w:id="0" w:name="_GoBack"/>
      <w:bookmarkEnd w:id="0"/>
      <w:r w:rsidR="00E14E6B">
        <w:t xml:space="preserve">er Bienen zu verbessen. Dies kann nur über Belegstellen und nicht mittels Standbegattung erfolgen. Die aktive </w:t>
      </w:r>
      <w:r w:rsidR="00657E56">
        <w:t xml:space="preserve">gesetzliche </w:t>
      </w:r>
      <w:r w:rsidR="00E14E6B">
        <w:t xml:space="preserve">Verhinderung dieser Zuchtarbeit kann </w:t>
      </w:r>
      <w:r w:rsidR="002C2D02">
        <w:t>daher</w:t>
      </w:r>
      <w:r w:rsidR="00E14E6B">
        <w:t xml:space="preserve"> schwer gerechtfertigt werden.</w:t>
      </w:r>
    </w:p>
    <w:p w:rsidR="00217492" w:rsidRDefault="006B0B30">
      <w:r>
        <w:t>Erfreulich ist</w:t>
      </w:r>
      <w:r w:rsidR="00217492">
        <w:t xml:space="preserve"> die leichte Steigerung der </w:t>
      </w:r>
      <w:r w:rsidR="00E14E6B">
        <w:t xml:space="preserve">Anzahl an </w:t>
      </w:r>
      <w:r w:rsidR="00217492">
        <w:t>besamten Königinnen.</w:t>
      </w:r>
      <w:r w:rsidR="00E14E6B">
        <w:t xml:space="preserve"> Diese Zahl wird voraussichtlich, mangels Belegstellen in Reichweite, weiter erhöht werden. Der Österreichische </w:t>
      </w:r>
      <w:proofErr w:type="spellStart"/>
      <w:r w:rsidR="00E14E6B">
        <w:t>Buckfastzuchtverband</w:t>
      </w:r>
      <w:proofErr w:type="spellEnd"/>
      <w:r w:rsidR="00E14E6B">
        <w:t xml:space="preserve"> bereitet eine entsprechende Besamungsaktion in der kommenden Zuchtsaison vor, genauere Informationen werden zeitnah auf unserer Homepage </w:t>
      </w:r>
      <w:hyperlink r:id="rId4" w:history="1">
        <w:r w:rsidR="00E14E6B" w:rsidRPr="00421F77">
          <w:rPr>
            <w:rStyle w:val="Hyperlink"/>
          </w:rPr>
          <w:t>www.buckfast.at</w:t>
        </w:r>
      </w:hyperlink>
      <w:r w:rsidR="00E14E6B">
        <w:t xml:space="preserve"> veröffentlicht.</w:t>
      </w:r>
    </w:p>
    <w:p w:rsidR="006B0B30" w:rsidRPr="006B0B30" w:rsidRDefault="006B0B30" w:rsidP="006B0B30">
      <w:r w:rsidRPr="006B0B30">
        <w:t xml:space="preserve">Der Österreichische </w:t>
      </w:r>
      <w:proofErr w:type="spellStart"/>
      <w:r w:rsidRPr="006B0B30">
        <w:t>Buckfastzuchtverband</w:t>
      </w:r>
      <w:proofErr w:type="spellEnd"/>
      <w:r w:rsidRPr="006B0B30">
        <w:t xml:space="preserve"> (ÖBZV) hat sich der Zucht und Etablierung der seit 1980 in Österreich heimischen </w:t>
      </w:r>
      <w:proofErr w:type="spellStart"/>
      <w:r w:rsidRPr="006B0B30">
        <w:t>Buckfastbiene</w:t>
      </w:r>
      <w:proofErr w:type="spellEnd"/>
      <w:r w:rsidRPr="006B0B30">
        <w:t xml:space="preserve"> verschrieben. Zu den Hauptaufgaben des Verbandes zählen </w:t>
      </w:r>
      <w:r w:rsidRPr="006B0B30">
        <w:lastRenderedPageBreak/>
        <w:t>Lobbyarbeit, Organisation von Aus- und Weiterbildungen im Zuchtsektor und die Abgabe von hochwertigem Zuchtmaterial.</w:t>
      </w:r>
    </w:p>
    <w:p w:rsidR="006B0B30" w:rsidRPr="006B0B30" w:rsidRDefault="006B0B30" w:rsidP="006B0B30">
      <w:r w:rsidRPr="006B0B30">
        <w:t xml:space="preserve">Sie wollen Neuigkeiten und Informationen zur </w:t>
      </w:r>
      <w:proofErr w:type="spellStart"/>
      <w:r w:rsidRPr="006B0B30">
        <w:t>Buckfastbiene</w:t>
      </w:r>
      <w:proofErr w:type="spellEnd"/>
      <w:r w:rsidRPr="006B0B30">
        <w:t xml:space="preserve"> aus erster Hand?</w:t>
      </w:r>
      <w:r w:rsidRPr="006B0B30">
        <w:br/>
        <w:t xml:space="preserve">Besuchen Sie unsere Homepage </w:t>
      </w:r>
      <w:hyperlink r:id="rId5" w:history="1">
        <w:r w:rsidR="004B25D4" w:rsidRPr="001E21EF">
          <w:rPr>
            <w:rStyle w:val="Hyperlink"/>
          </w:rPr>
          <w:t>www.buckfast.at</w:t>
        </w:r>
      </w:hyperlink>
      <w:r w:rsidR="004B25D4">
        <w:t xml:space="preserve"> </w:t>
      </w:r>
      <w:r w:rsidRPr="006B0B30">
        <w:t>und werden Sie Mitglied!</w:t>
      </w:r>
    </w:p>
    <w:p w:rsidR="006B0B30" w:rsidRDefault="006B0B30" w:rsidP="006B0B30">
      <w:r w:rsidRPr="006B0B30">
        <w:t>Thomas</w:t>
      </w:r>
      <w:r w:rsidR="00DD29BD">
        <w:t xml:space="preserve"> Sprenger, Verbandsobmann des </w:t>
      </w:r>
      <w:proofErr w:type="spellStart"/>
      <w:r w:rsidR="00DD29BD">
        <w:t>Buckfastzuchtverband</w:t>
      </w:r>
      <w:proofErr w:type="spellEnd"/>
      <w:r w:rsidR="00DD29BD">
        <w:t xml:space="preserve"> Österreich</w:t>
      </w:r>
    </w:p>
    <w:sectPr w:rsidR="006B0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63"/>
    <w:rsid w:val="000006AE"/>
    <w:rsid w:val="0000678C"/>
    <w:rsid w:val="00217492"/>
    <w:rsid w:val="0023740A"/>
    <w:rsid w:val="00261C57"/>
    <w:rsid w:val="002748D4"/>
    <w:rsid w:val="002C2D02"/>
    <w:rsid w:val="002F5780"/>
    <w:rsid w:val="003666ED"/>
    <w:rsid w:val="0037596E"/>
    <w:rsid w:val="004B25D4"/>
    <w:rsid w:val="00543BA4"/>
    <w:rsid w:val="00647DA4"/>
    <w:rsid w:val="00657E56"/>
    <w:rsid w:val="00667BAD"/>
    <w:rsid w:val="006A5EEC"/>
    <w:rsid w:val="006B0B30"/>
    <w:rsid w:val="006F5DC0"/>
    <w:rsid w:val="007038D5"/>
    <w:rsid w:val="0073210B"/>
    <w:rsid w:val="00732E4F"/>
    <w:rsid w:val="007C09D0"/>
    <w:rsid w:val="007D3046"/>
    <w:rsid w:val="00805486"/>
    <w:rsid w:val="00867AB7"/>
    <w:rsid w:val="00892958"/>
    <w:rsid w:val="00902939"/>
    <w:rsid w:val="00A17C43"/>
    <w:rsid w:val="00AB4163"/>
    <w:rsid w:val="00B17AE0"/>
    <w:rsid w:val="00C44101"/>
    <w:rsid w:val="00DD29BD"/>
    <w:rsid w:val="00E14E6B"/>
    <w:rsid w:val="00EB4080"/>
    <w:rsid w:val="00EB77B7"/>
    <w:rsid w:val="00E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F09C-F094-43AC-9874-AD73F251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40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00678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E14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ckfast.at" TargetMode="External"/><Relationship Id="rId4" Type="http://schemas.openxmlformats.org/officeDocument/2006/relationships/hyperlink" Target="http://www.buckfas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22</cp:revision>
  <dcterms:created xsi:type="dcterms:W3CDTF">2021-09-01T12:51:00Z</dcterms:created>
  <dcterms:modified xsi:type="dcterms:W3CDTF">2021-11-17T17:22:00Z</dcterms:modified>
</cp:coreProperties>
</file>